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B" w:rsidRDefault="004329AB" w:rsidP="004329AB">
      <w:pPr>
        <w:pStyle w:val="1"/>
      </w:pPr>
      <w:r>
        <w:t xml:space="preserve">Новый документ Транспортная </w:t>
      </w:r>
      <w:r w:rsidRPr="004329AB">
        <w:t>калькуляция</w:t>
      </w:r>
    </w:p>
    <w:p w:rsidR="004329AB" w:rsidRDefault="004329AB" w:rsidP="00C05F25">
      <w:pPr>
        <w:ind w:firstLine="567"/>
        <w:jc w:val="both"/>
      </w:pPr>
      <w:r>
        <w:t>Данный документ предназначен для расчета сметной стоимости материал</w:t>
      </w:r>
      <w:r w:rsidR="00296796">
        <w:t>ьных ресурсов</w:t>
      </w:r>
      <w:r>
        <w:t>. Для расчета сметной стоимости материал</w:t>
      </w:r>
      <w:r w:rsidR="00296796">
        <w:t>ьного ресурса</w:t>
      </w:r>
      <w:r>
        <w:t xml:space="preserve"> можно либо составить калькуляцию транспортных расходов, указав все затраты на каждом этапе (плече) доставки, либо ввести </w:t>
      </w:r>
      <w:r w:rsidR="00296796">
        <w:t xml:space="preserve">нужное </w:t>
      </w:r>
      <w:r>
        <w:t>значени</w:t>
      </w:r>
      <w:r w:rsidR="00296796">
        <w:t>е</w:t>
      </w:r>
      <w:r>
        <w:t xml:space="preserve"> в ручном режиме. Далее можно указать надбавки к итоговому значению транспортных расходов, размер заготовительно-складских расходов и иных надбавок к отпускной цене. </w:t>
      </w:r>
      <w:r w:rsidR="003F3496">
        <w:t>После в</w:t>
      </w:r>
      <w:r>
        <w:t>в</w:t>
      </w:r>
      <w:r w:rsidR="003F3496">
        <w:t>о</w:t>
      </w:r>
      <w:r>
        <w:t>д</w:t>
      </w:r>
      <w:r w:rsidR="003F3496">
        <w:t>а</w:t>
      </w:r>
      <w:r>
        <w:t xml:space="preserve"> все</w:t>
      </w:r>
      <w:r w:rsidR="003F3496">
        <w:t>х</w:t>
      </w:r>
      <w:r>
        <w:t xml:space="preserve"> необходимы</w:t>
      </w:r>
      <w:r w:rsidR="003F3496">
        <w:t>х</w:t>
      </w:r>
      <w:r>
        <w:t xml:space="preserve"> значени</w:t>
      </w:r>
      <w:r w:rsidR="003F3496">
        <w:t>й</w:t>
      </w:r>
      <w:r>
        <w:t xml:space="preserve"> будет автоматически рассчит</w:t>
      </w:r>
      <w:r w:rsidR="00296796">
        <w:t>ана величина сметной стоимости материального ресурса.</w:t>
      </w:r>
    </w:p>
    <w:p w:rsidR="004329AB" w:rsidRDefault="004329AB" w:rsidP="004329AB">
      <w:r>
        <w:rPr>
          <w:noProof/>
          <w:lang w:eastAsia="ru-RU"/>
        </w:rPr>
        <w:drawing>
          <wp:inline distT="0" distB="0" distL="0" distR="0">
            <wp:extent cx="5940425" cy="4551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AB" w:rsidRPr="004329AB" w:rsidRDefault="004329AB" w:rsidP="004329AB"/>
    <w:p w:rsidR="004329AB" w:rsidRDefault="000C5A64">
      <w:r>
        <w:rPr>
          <w:noProof/>
          <w:lang w:eastAsia="ru-RU"/>
        </w:rPr>
        <w:drawing>
          <wp:inline distT="0" distB="0" distL="0" distR="0">
            <wp:extent cx="6300470" cy="9023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64" w:rsidRDefault="000C5A64">
      <w:r>
        <w:rPr>
          <w:noProof/>
          <w:lang w:eastAsia="ru-RU"/>
        </w:rPr>
        <w:lastRenderedPageBreak/>
        <w:drawing>
          <wp:inline distT="0" distB="0" distL="0" distR="0">
            <wp:extent cx="6300470" cy="36252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25" w:rsidRDefault="00C05F25" w:rsidP="00C05F25">
      <w:pPr>
        <w:ind w:firstLine="567"/>
        <w:jc w:val="both"/>
      </w:pPr>
      <w:r>
        <w:t xml:space="preserve">Стоимость </w:t>
      </w:r>
      <w:r w:rsidR="00CB1685">
        <w:t xml:space="preserve">материальных </w:t>
      </w:r>
      <w:r>
        <w:t>ресурсов, рассчитанная в Транспортной калькуляции</w:t>
      </w:r>
      <w:r w:rsidR="003F3496">
        <w:t xml:space="preserve">, в дальнейшем </w:t>
      </w:r>
      <w:r>
        <w:t>может быть загружена в локальные сметы и сводные ведомости ресурсов.</w:t>
      </w:r>
    </w:p>
    <w:p w:rsidR="00C05F25" w:rsidRPr="00C05F25" w:rsidRDefault="00C05F25" w:rsidP="00C05F25">
      <w:pPr>
        <w:ind w:firstLine="567"/>
        <w:jc w:val="both"/>
      </w:pPr>
      <w:r>
        <w:t xml:space="preserve">В </w:t>
      </w:r>
      <w:r w:rsidR="00CB1685">
        <w:t>Т</w:t>
      </w:r>
      <w:r>
        <w:t>ранспортную калькуляцию могут быть загружены данные о материалах из локальной сметы, либо сводной ведомости ресурсов.</w:t>
      </w:r>
    </w:p>
    <w:p w:rsidR="000C5A64" w:rsidRDefault="000C5A64" w:rsidP="000C5A64">
      <w:pPr>
        <w:pStyle w:val="1"/>
      </w:pPr>
      <w:r>
        <w:t>Добавлена возможность прикрепления к смете различных файлов в виде вложений</w:t>
      </w:r>
    </w:p>
    <w:p w:rsidR="00E2785D" w:rsidRDefault="000C5A64" w:rsidP="00E2785D">
      <w:pPr>
        <w:ind w:firstLine="567"/>
        <w:jc w:val="both"/>
      </w:pPr>
      <w:r>
        <w:t xml:space="preserve">При необходимости можно прикрепить </w:t>
      </w:r>
      <w:r w:rsidR="00334734">
        <w:t>к</w:t>
      </w:r>
      <w:r>
        <w:t xml:space="preserve"> смете любые файлы (кроме </w:t>
      </w:r>
      <w:proofErr w:type="gramStart"/>
      <w:r>
        <w:t>исполняемых</w:t>
      </w:r>
      <w:proofErr w:type="gramEnd"/>
      <w:r>
        <w:t xml:space="preserve">). Например, это может быть </w:t>
      </w:r>
      <w:r w:rsidR="00334734" w:rsidRPr="00334734">
        <w:t>файл Excel</w:t>
      </w:r>
      <w:r w:rsidR="00334734">
        <w:t>, где выполнен расчет физ</w:t>
      </w:r>
      <w:r w:rsidR="00334734" w:rsidRPr="00334734">
        <w:t>об</w:t>
      </w:r>
      <w:r w:rsidR="00334734">
        <w:t>ъе</w:t>
      </w:r>
      <w:r w:rsidR="00334734" w:rsidRPr="00334734">
        <w:t>мов</w:t>
      </w:r>
      <w:r w:rsidR="00334734">
        <w:t xml:space="preserve">, а в </w:t>
      </w:r>
      <w:r w:rsidR="00334734" w:rsidRPr="00334734">
        <w:t xml:space="preserve">позициях сметы </w:t>
      </w:r>
      <w:r w:rsidR="00334734">
        <w:t xml:space="preserve">указаны ссылки на ячейки в этом файле </w:t>
      </w:r>
      <w:r w:rsidR="00334734" w:rsidRPr="005D657C">
        <w:t xml:space="preserve">– </w:t>
      </w:r>
      <w:r w:rsidR="00334734">
        <w:t xml:space="preserve">тогда при </w:t>
      </w:r>
      <w:r w:rsidR="00334734" w:rsidRPr="00334734">
        <w:t>пересылке сметы</w:t>
      </w:r>
      <w:r w:rsidR="00334734">
        <w:t xml:space="preserve"> с таким вложенным файлом</w:t>
      </w:r>
      <w:r w:rsidR="00334734" w:rsidRPr="00334734">
        <w:t xml:space="preserve"> </w:t>
      </w:r>
      <w:r w:rsidR="00334734">
        <w:t>все связи</w:t>
      </w:r>
      <w:r w:rsidR="00334734" w:rsidRPr="00334734">
        <w:t xml:space="preserve"> гарантированно сохраняются</w:t>
      </w:r>
      <w:r w:rsidR="00334734">
        <w:t>.</w:t>
      </w:r>
      <w:r w:rsidR="00E2785D" w:rsidRPr="00E2785D">
        <w:t xml:space="preserve"> </w:t>
      </w:r>
      <w:r w:rsidR="00E2785D">
        <w:t>Также</w:t>
      </w:r>
      <w:r w:rsidR="00334734">
        <w:t xml:space="preserve"> можно </w:t>
      </w:r>
      <w:r w:rsidR="00E2785D">
        <w:t>вложить в смету</w:t>
      </w:r>
      <w:r w:rsidR="00E2785D" w:rsidRPr="00E2785D">
        <w:t xml:space="preserve"> </w:t>
      </w:r>
      <w:r w:rsidR="00E2785D">
        <w:t xml:space="preserve">пояснительную записку, </w:t>
      </w:r>
      <w:proofErr w:type="gramStart"/>
      <w:r w:rsidR="00E2785D">
        <w:t>скан-копии</w:t>
      </w:r>
      <w:proofErr w:type="gramEnd"/>
      <w:r w:rsidR="00E2785D">
        <w:t xml:space="preserve"> чертежей и т.п.</w:t>
      </w:r>
    </w:p>
    <w:p w:rsidR="000C5A64" w:rsidRDefault="000C5A64" w:rsidP="000C5A64">
      <w:r>
        <w:rPr>
          <w:noProof/>
          <w:lang w:eastAsia="ru-RU"/>
        </w:rPr>
        <w:lastRenderedPageBreak/>
        <w:drawing>
          <wp:inline distT="0" distB="0" distL="0" distR="0">
            <wp:extent cx="6300470" cy="406844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6C" w:rsidRPr="00D50F95" w:rsidRDefault="00E8016C" w:rsidP="00E8016C">
      <w:pPr>
        <w:ind w:firstLine="567"/>
        <w:jc w:val="both"/>
      </w:pPr>
      <w:r>
        <w:t>Ф</w:t>
      </w:r>
      <w:r w:rsidRPr="00D50F95">
        <w:t>а</w:t>
      </w:r>
      <w:r>
        <w:t>йл, добавленный в виде вложения в смету</w:t>
      </w:r>
      <w:r w:rsidR="003F3496">
        <w:t xml:space="preserve">, </w:t>
      </w:r>
      <w:r>
        <w:t xml:space="preserve">можно двойным </w:t>
      </w:r>
      <w:r w:rsidR="003F3496">
        <w:t>щелчком</w:t>
      </w:r>
      <w:r>
        <w:t xml:space="preserve"> мыши открыть для редактирования. При этом будет запущено то средство редактирования, которое определено в операционной системе для данного типа файла. После того как файл будет закрыт, программой будет предложено обновить его содержимое в документе. </w:t>
      </w:r>
    </w:p>
    <w:p w:rsidR="00E8016C" w:rsidRDefault="00E8016C" w:rsidP="000C5A64">
      <w:r>
        <w:rPr>
          <w:noProof/>
          <w:lang w:eastAsia="ru-RU"/>
        </w:rPr>
        <w:lastRenderedPageBreak/>
        <w:drawing>
          <wp:inline distT="0" distB="0" distL="0" distR="0">
            <wp:extent cx="5829300" cy="399567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650" cy="400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25" w:rsidRDefault="00C05F25" w:rsidP="00C05F25">
      <w:pPr>
        <w:pStyle w:val="1"/>
      </w:pPr>
      <w:r>
        <w:t xml:space="preserve">При поиске в нормативной базе добавлена возможность поиска с условием </w:t>
      </w:r>
      <w:r w:rsidR="009F3FDF">
        <w:t>ИЛИ</w:t>
      </w:r>
    </w:p>
    <w:p w:rsidR="00C05F25" w:rsidRPr="00C05F25" w:rsidRDefault="00C05F25" w:rsidP="00C05F25">
      <w:pPr>
        <w:ind w:firstLine="567"/>
        <w:jc w:val="both"/>
      </w:pPr>
      <w:r>
        <w:t xml:space="preserve">Для указания </w:t>
      </w:r>
      <w:r w:rsidR="00CA09CA">
        <w:t>условия</w:t>
      </w:r>
      <w:r>
        <w:t xml:space="preserve"> ИЛИ необходимо использовать </w:t>
      </w:r>
      <w:r w:rsidR="004D7A2B">
        <w:t xml:space="preserve">в строке поиска </w:t>
      </w:r>
      <w:r>
        <w:t>символ «</w:t>
      </w:r>
      <w:r w:rsidRPr="00C05F25">
        <w:t>|</w:t>
      </w:r>
      <w:r>
        <w:t>»</w:t>
      </w:r>
      <w:bookmarkStart w:id="0" w:name="_GoBack"/>
      <w:bookmarkEnd w:id="0"/>
    </w:p>
    <w:p w:rsidR="00C05F25" w:rsidRDefault="00C05F25" w:rsidP="00C05F25">
      <w:r>
        <w:t xml:space="preserve">Пример: </w:t>
      </w:r>
      <w:proofErr w:type="spellStart"/>
      <w:r>
        <w:t>устан</w:t>
      </w:r>
      <w:r w:rsidR="006419F2">
        <w:t>ов</w:t>
      </w:r>
      <w:proofErr w:type="spellEnd"/>
      <w:r>
        <w:t xml:space="preserve"> </w:t>
      </w:r>
      <w:r w:rsidRPr="00C05F25">
        <w:t xml:space="preserve">| </w:t>
      </w:r>
      <w:proofErr w:type="spellStart"/>
      <w:r w:rsidR="00CA09CA">
        <w:t>монт</w:t>
      </w:r>
      <w:proofErr w:type="spellEnd"/>
      <w:r w:rsidR="00CA09CA">
        <w:t xml:space="preserve"> метал каркас</w:t>
      </w:r>
    </w:p>
    <w:p w:rsidR="00C05F25" w:rsidRPr="00CA09CA" w:rsidRDefault="00C05F25" w:rsidP="00C05F25">
      <w:r>
        <w:t xml:space="preserve">В данном </w:t>
      </w:r>
      <w:proofErr w:type="gramStart"/>
      <w:r>
        <w:t>примере</w:t>
      </w:r>
      <w:proofErr w:type="gramEnd"/>
      <w:r>
        <w:t xml:space="preserve"> будет осуществл</w:t>
      </w:r>
      <w:r w:rsidR="006419F2">
        <w:t>яться</w:t>
      </w:r>
      <w:r>
        <w:t xml:space="preserve"> поиск </w:t>
      </w:r>
      <w:r w:rsidR="00CA09CA">
        <w:t xml:space="preserve">наименования </w:t>
      </w:r>
      <w:r w:rsidR="006419F2">
        <w:t>с</w:t>
      </w:r>
      <w:r>
        <w:t xml:space="preserve"> наличи</w:t>
      </w:r>
      <w:r w:rsidR="00CA09CA">
        <w:t>ем</w:t>
      </w:r>
      <w:r>
        <w:t xml:space="preserve"> </w:t>
      </w:r>
      <w:r w:rsidR="006419F2">
        <w:t>слов</w:t>
      </w:r>
      <w:r>
        <w:t xml:space="preserve"> </w:t>
      </w:r>
      <w:r w:rsidRPr="00C05F25">
        <w:rPr>
          <w:b/>
        </w:rPr>
        <w:t>установ</w:t>
      </w:r>
      <w:r w:rsidR="00CA09CA">
        <w:rPr>
          <w:b/>
        </w:rPr>
        <w:t>ка</w:t>
      </w:r>
      <w:r>
        <w:t xml:space="preserve"> или </w:t>
      </w:r>
      <w:r w:rsidRPr="00CA09CA">
        <w:rPr>
          <w:b/>
        </w:rPr>
        <w:t>монт</w:t>
      </w:r>
      <w:r w:rsidR="00CA09CA" w:rsidRPr="00CA09CA">
        <w:rPr>
          <w:b/>
        </w:rPr>
        <w:t>аж</w:t>
      </w:r>
      <w:r w:rsidR="00CA09CA" w:rsidRPr="00CA09CA">
        <w:t>.</w:t>
      </w:r>
    </w:p>
    <w:p w:rsidR="00C05F25" w:rsidRDefault="00C05F25" w:rsidP="00C05F25">
      <w:pPr>
        <w:pStyle w:val="1"/>
      </w:pPr>
      <w:r>
        <w:t xml:space="preserve">Добавлена совместимость </w:t>
      </w:r>
      <w:r w:rsidR="00085E81">
        <w:t xml:space="preserve">программы </w:t>
      </w:r>
      <w:r>
        <w:t>с операционными система</w:t>
      </w:r>
      <w:r w:rsidR="006419F2">
        <w:t>ми</w:t>
      </w:r>
      <w:r>
        <w:t xml:space="preserve"> типа </w:t>
      </w:r>
      <w:proofErr w:type="spellStart"/>
      <w:r>
        <w:t>Линукс</w:t>
      </w:r>
      <w:proofErr w:type="spellEnd"/>
    </w:p>
    <w:p w:rsidR="00C05F25" w:rsidRDefault="00C05F25" w:rsidP="00C05F25">
      <w:pPr>
        <w:ind w:firstLine="567"/>
        <w:jc w:val="both"/>
      </w:pPr>
      <w:r>
        <w:t>Для корректно</w:t>
      </w:r>
      <w:r w:rsidR="006419F2">
        <w:t>й</w:t>
      </w:r>
      <w:r>
        <w:t xml:space="preserve"> работы </w:t>
      </w:r>
      <w:r w:rsidR="004D7A2B">
        <w:t xml:space="preserve">ПК </w:t>
      </w:r>
      <w:r w:rsidR="00085E81">
        <w:rPr>
          <w:rFonts w:cs="Tahoma"/>
          <w:szCs w:val="16"/>
        </w:rPr>
        <w:t>«ГРАНД-Смета»</w:t>
      </w:r>
      <w:r w:rsidR="00085E81">
        <w:rPr>
          <w:rFonts w:cs="Tahoma"/>
          <w:szCs w:val="16"/>
        </w:rPr>
        <w:t xml:space="preserve"> </w:t>
      </w:r>
      <w:r>
        <w:t xml:space="preserve">в среде </w:t>
      </w:r>
      <w:proofErr w:type="spellStart"/>
      <w:r>
        <w:t>Линукс</w:t>
      </w:r>
      <w:proofErr w:type="spellEnd"/>
      <w:r>
        <w:t xml:space="preserve"> необходимо наличие установленн</w:t>
      </w:r>
      <w:r w:rsidR="003F3496">
        <w:t>ого</w:t>
      </w:r>
      <w:r>
        <w:t xml:space="preserve"> пакет</w:t>
      </w:r>
      <w:r w:rsidR="003F3496">
        <w:t>а</w:t>
      </w:r>
      <w:r>
        <w:t xml:space="preserve"> </w:t>
      </w:r>
      <w:r>
        <w:rPr>
          <w:lang w:val="en-US"/>
        </w:rPr>
        <w:t>Wine</w:t>
      </w:r>
      <w:r w:rsidRPr="00C05F25">
        <w:t>-</w:t>
      </w:r>
      <w:r>
        <w:rPr>
          <w:lang w:val="en-US"/>
        </w:rPr>
        <w:t>HQ</w:t>
      </w:r>
      <w:r w:rsidRPr="00C05F25">
        <w:t xml:space="preserve">, </w:t>
      </w:r>
      <w:r>
        <w:t xml:space="preserve">либо </w:t>
      </w:r>
      <w:r>
        <w:rPr>
          <w:lang w:val="en-US"/>
        </w:rPr>
        <w:t>Wine</w:t>
      </w:r>
      <w:r w:rsidRPr="00C05F25">
        <w:t>-</w:t>
      </w:r>
      <w:proofErr w:type="spellStart"/>
      <w:r>
        <w:rPr>
          <w:lang w:val="en-US"/>
        </w:rPr>
        <w:t>Etersoft</w:t>
      </w:r>
      <w:proofErr w:type="spellEnd"/>
      <w:r w:rsidRPr="00C05F25">
        <w:t xml:space="preserve">. </w:t>
      </w:r>
    </w:p>
    <w:p w:rsidR="00C05F25" w:rsidRDefault="00E8016C" w:rsidP="00E8016C">
      <w:pPr>
        <w:pStyle w:val="1"/>
      </w:pPr>
      <w:r>
        <w:t xml:space="preserve">Новый </w:t>
      </w:r>
      <w:r w:rsidR="0068059D">
        <w:t>формат</w:t>
      </w:r>
      <w:r>
        <w:t xml:space="preserve"> справочник</w:t>
      </w:r>
      <w:r w:rsidR="0068059D">
        <w:t>ов</w:t>
      </w:r>
      <w:r>
        <w:t xml:space="preserve"> </w:t>
      </w:r>
      <w:r w:rsidR="00FE6D92">
        <w:t>видов работ</w:t>
      </w:r>
    </w:p>
    <w:p w:rsidR="00E8016C" w:rsidRDefault="00E8016C" w:rsidP="00AD16E5">
      <w:pPr>
        <w:ind w:firstLine="567"/>
        <w:jc w:val="both"/>
      </w:pPr>
      <w:r>
        <w:t xml:space="preserve">Для упорядочивания </w:t>
      </w:r>
      <w:r w:rsidR="00620F98">
        <w:t xml:space="preserve">действий </w:t>
      </w:r>
      <w:r>
        <w:t>с видами работ, нормами НР и СП</w:t>
      </w:r>
      <w:r w:rsidR="00620F98" w:rsidRPr="00620F98">
        <w:t xml:space="preserve"> </w:t>
      </w:r>
      <w:r w:rsidR="00620F98">
        <w:t>для каждого вида работ</w:t>
      </w:r>
      <w:r>
        <w:t>, а также коэффициентами к нормам НР и СП</w:t>
      </w:r>
      <w:r w:rsidR="00620F98">
        <w:t xml:space="preserve">, общий </w:t>
      </w:r>
      <w:r>
        <w:t xml:space="preserve">справочник видов работ </w:t>
      </w:r>
      <w:r w:rsidR="00620F98">
        <w:t xml:space="preserve">делится </w:t>
      </w:r>
      <w:r>
        <w:t>на три составляющие:</w:t>
      </w:r>
    </w:p>
    <w:p w:rsidR="00E8016C" w:rsidRDefault="00E8016C" w:rsidP="00AD16E5">
      <w:pPr>
        <w:pStyle w:val="a3"/>
        <w:numPr>
          <w:ilvl w:val="0"/>
          <w:numId w:val="2"/>
        </w:numPr>
      </w:pPr>
      <w:r>
        <w:t>Справочник вид</w:t>
      </w:r>
      <w:r w:rsidR="00620F98">
        <w:t>ов</w:t>
      </w:r>
      <w:r w:rsidR="00AD16E5">
        <w:t xml:space="preserve"> работ</w:t>
      </w:r>
    </w:p>
    <w:p w:rsidR="00E8016C" w:rsidRDefault="00E8016C" w:rsidP="00AD16E5">
      <w:pPr>
        <w:pStyle w:val="a3"/>
        <w:numPr>
          <w:ilvl w:val="0"/>
          <w:numId w:val="2"/>
        </w:numPr>
      </w:pPr>
      <w:r>
        <w:t xml:space="preserve">Справочник </w:t>
      </w:r>
      <w:r w:rsidR="00FE6D92">
        <w:t>с норма</w:t>
      </w:r>
      <w:r w:rsidR="00085E81">
        <w:t>тива</w:t>
      </w:r>
      <w:r w:rsidR="00FE6D92">
        <w:t xml:space="preserve">ми НР и СП </w:t>
      </w:r>
      <w:r w:rsidR="00AD16E5">
        <w:t>для каждого вида работ</w:t>
      </w:r>
    </w:p>
    <w:p w:rsidR="00AD16E5" w:rsidRDefault="00AD16E5" w:rsidP="00AD16E5">
      <w:pPr>
        <w:pStyle w:val="a3"/>
        <w:numPr>
          <w:ilvl w:val="0"/>
          <w:numId w:val="2"/>
        </w:numPr>
      </w:pPr>
      <w:r>
        <w:t xml:space="preserve">Справочник </w:t>
      </w:r>
      <w:r w:rsidR="00085E81">
        <w:t xml:space="preserve">с </w:t>
      </w:r>
      <w:r>
        <w:t>коэффициент</w:t>
      </w:r>
      <w:r w:rsidR="00FE6D92">
        <w:t>ами к НР и СП</w:t>
      </w:r>
    </w:p>
    <w:p w:rsidR="00AD16E5" w:rsidRDefault="00AD16E5" w:rsidP="00AD16E5">
      <w:pPr>
        <w:ind w:firstLine="567"/>
        <w:jc w:val="both"/>
      </w:pPr>
      <w:r>
        <w:t xml:space="preserve">При этом выбор каждого справочника осуществляется независимо друг от друга. Изменение справочника </w:t>
      </w:r>
      <w:r w:rsidR="00FE6D92">
        <w:t>с норма</w:t>
      </w:r>
      <w:r w:rsidR="00085E81">
        <w:t>тива</w:t>
      </w:r>
      <w:r w:rsidR="00FE6D92">
        <w:t>ми</w:t>
      </w:r>
      <w:r>
        <w:t xml:space="preserve"> НР и СП не влияет на выбранный справочник </w:t>
      </w:r>
      <w:r w:rsidR="00FE6D92">
        <w:t>с коэффициентами</w:t>
      </w:r>
      <w:r>
        <w:t xml:space="preserve"> к ним. Аналогично и выбор справочника </w:t>
      </w:r>
      <w:r w:rsidR="00FE6D92">
        <w:t xml:space="preserve">с коэффициентами </w:t>
      </w:r>
      <w:r>
        <w:t xml:space="preserve">к </w:t>
      </w:r>
      <w:r w:rsidR="00FE6D92">
        <w:t xml:space="preserve">НР и СП </w:t>
      </w:r>
      <w:r>
        <w:t xml:space="preserve">не зависит от выбора справочника </w:t>
      </w:r>
      <w:r w:rsidR="00FE6D92">
        <w:t>с норма</w:t>
      </w:r>
      <w:r w:rsidR="00085E81">
        <w:t xml:space="preserve">тивами </w:t>
      </w:r>
      <w:r w:rsidR="00085E81">
        <w:t>НР и СП</w:t>
      </w:r>
      <w:r w:rsidR="00085E81">
        <w:t>.</w:t>
      </w:r>
    </w:p>
    <w:p w:rsidR="00085E81" w:rsidRDefault="00085E81" w:rsidP="00085E81">
      <w:pPr>
        <w:jc w:val="both"/>
      </w:pPr>
      <w:r>
        <w:lastRenderedPageBreak/>
        <w:t>Выбор справочника видов работ:</w:t>
      </w:r>
    </w:p>
    <w:p w:rsidR="00085E81" w:rsidRPr="00CC17D0" w:rsidRDefault="00085E81" w:rsidP="00085E81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0B9BDD" wp14:editId="55673836">
            <wp:extent cx="6300000" cy="406814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0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81" w:rsidRDefault="00085E81" w:rsidP="00085E81">
      <w:pPr>
        <w:jc w:val="both"/>
      </w:pPr>
      <w:r>
        <w:t>Выбор справочника с норма</w:t>
      </w:r>
      <w:r>
        <w:t>тива</w:t>
      </w:r>
      <w:r>
        <w:t>ми НР и СП:</w:t>
      </w:r>
    </w:p>
    <w:p w:rsidR="00085E81" w:rsidRDefault="00085E81" w:rsidP="00085E81">
      <w:pPr>
        <w:jc w:val="both"/>
      </w:pPr>
      <w:r>
        <w:rPr>
          <w:noProof/>
          <w:lang w:eastAsia="ru-RU"/>
        </w:rPr>
        <w:drawing>
          <wp:inline distT="0" distB="0" distL="0" distR="0" wp14:anchorId="73E46208" wp14:editId="1B91B4C2">
            <wp:extent cx="6300470" cy="4068445"/>
            <wp:effectExtent l="0" t="0" r="508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81" w:rsidRDefault="00085E81" w:rsidP="00085E81">
      <w:pPr>
        <w:jc w:val="both"/>
      </w:pPr>
      <w:r>
        <w:lastRenderedPageBreak/>
        <w:t>Выбор справочника с коэффициентами к НР и СП:</w:t>
      </w:r>
    </w:p>
    <w:p w:rsidR="00085E81" w:rsidRDefault="00085E81" w:rsidP="00085E81">
      <w:pPr>
        <w:jc w:val="both"/>
      </w:pPr>
      <w:r>
        <w:rPr>
          <w:noProof/>
          <w:lang w:eastAsia="ru-RU"/>
        </w:rPr>
        <w:drawing>
          <wp:inline distT="0" distB="0" distL="0" distR="0" wp14:anchorId="3FD04706" wp14:editId="34419523">
            <wp:extent cx="6300470" cy="4068445"/>
            <wp:effectExtent l="0" t="0" r="508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81" w:rsidRDefault="00085E81" w:rsidP="00085E81">
      <w:pPr>
        <w:jc w:val="both"/>
      </w:pPr>
      <w:r>
        <w:t>Количество справочников с норма</w:t>
      </w:r>
      <w:r>
        <w:t>тива</w:t>
      </w:r>
      <w:r>
        <w:t xml:space="preserve">ми НР и СП зависит от того, какие </w:t>
      </w:r>
      <w:r w:rsidRPr="00085E81">
        <w:t xml:space="preserve">в данный момент </w:t>
      </w:r>
      <w:r>
        <w:t xml:space="preserve">выбраны </w:t>
      </w:r>
      <w:r>
        <w:t>виды работ:</w:t>
      </w:r>
    </w:p>
    <w:p w:rsidR="00085E81" w:rsidRDefault="00085E81" w:rsidP="00085E81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3031F07" wp14:editId="39CA3C0A">
            <wp:extent cx="6300470" cy="4068445"/>
            <wp:effectExtent l="0" t="0" r="508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81" w:rsidRDefault="00085E81" w:rsidP="00085E81">
      <w:r>
        <w:t>На вкладке Таблица выводится сводное состояние о видах работ в документе со значениями норм</w:t>
      </w:r>
      <w:r>
        <w:t>ативов</w:t>
      </w:r>
      <w:r>
        <w:t xml:space="preserve"> НР и СП, а также данные о применяемых коэффициентах к НР и СП.</w:t>
      </w:r>
    </w:p>
    <w:p w:rsidR="00085E81" w:rsidRDefault="00085E81" w:rsidP="00085E81">
      <w:r>
        <w:rPr>
          <w:noProof/>
          <w:lang w:eastAsia="ru-RU"/>
        </w:rPr>
        <w:drawing>
          <wp:inline distT="0" distB="0" distL="0" distR="0" wp14:anchorId="1E6E2613" wp14:editId="02B76399">
            <wp:extent cx="6300470" cy="4068445"/>
            <wp:effectExtent l="0" t="0" r="508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81" w:rsidRDefault="00085E81" w:rsidP="00085E81">
      <w:r>
        <w:lastRenderedPageBreak/>
        <w:t>При этом следует обратить внимание, что справочник с норма</w:t>
      </w:r>
      <w:r>
        <w:t>тива</w:t>
      </w:r>
      <w:r>
        <w:t>ми НР и СП, а также справочник</w:t>
      </w:r>
      <w:r w:rsidRPr="00620F98">
        <w:t xml:space="preserve"> </w:t>
      </w:r>
      <w:r>
        <w:t>с коэффициентами к НР и СП, можно перевыбрать независимо друг от друга.</w:t>
      </w:r>
    </w:p>
    <w:p w:rsidR="00085E81" w:rsidRDefault="00085E81" w:rsidP="00085E81">
      <w:r>
        <w:rPr>
          <w:noProof/>
          <w:lang w:eastAsia="ru-RU"/>
        </w:rPr>
        <w:drawing>
          <wp:inline distT="0" distB="0" distL="0" distR="0" wp14:anchorId="752AA9AD" wp14:editId="00BC5580">
            <wp:extent cx="6300470" cy="4068445"/>
            <wp:effectExtent l="0" t="0" r="508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E81" w:rsidSect="006419F2">
      <w:headerReference w:type="default" r:id="rId19"/>
      <w:footerReference w:type="default" r:id="rId20"/>
      <w:pgSz w:w="11906" w:h="16838"/>
      <w:pgMar w:top="993" w:right="850" w:bottom="993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02" w:rsidRDefault="00924C02" w:rsidP="006419F2">
      <w:pPr>
        <w:spacing w:after="0" w:line="240" w:lineRule="auto"/>
      </w:pPr>
      <w:r>
        <w:separator/>
      </w:r>
    </w:p>
  </w:endnote>
  <w:endnote w:type="continuationSeparator" w:id="0">
    <w:p w:rsidR="00924C02" w:rsidRDefault="00924C02" w:rsidP="006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5663"/>
      <w:docPartObj>
        <w:docPartGallery w:val="Page Numbers (Bottom of Page)"/>
        <w:docPartUnique/>
      </w:docPartObj>
    </w:sdtPr>
    <w:sdtContent>
      <w:p w:rsidR="004D7A2B" w:rsidRDefault="004D7A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A2B" w:rsidRDefault="004D7A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02" w:rsidRDefault="00924C02" w:rsidP="006419F2">
      <w:pPr>
        <w:spacing w:after="0" w:line="240" w:lineRule="auto"/>
      </w:pPr>
      <w:r>
        <w:separator/>
      </w:r>
    </w:p>
  </w:footnote>
  <w:footnote w:type="continuationSeparator" w:id="0">
    <w:p w:rsidR="00924C02" w:rsidRDefault="00924C02" w:rsidP="0064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alias w:val="Заголовок"/>
      <w:id w:val="522188782"/>
      <w:placeholder>
        <w:docPart w:val="FC422FBBCB154A06A6EB2D1C54357C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19F2" w:rsidRPr="006419F2" w:rsidRDefault="006419F2" w:rsidP="006419F2">
        <w:pPr>
          <w:pStyle w:val="a6"/>
          <w:pBdr>
            <w:bottom w:val="thickThinSmallGap" w:sz="24" w:space="1" w:color="823B0B" w:themeColor="accent2" w:themeShade="7F"/>
          </w:pBdr>
          <w:spacing w:after="100" w:afterAutospacing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9F2">
          <w:rPr>
            <w:rFonts w:ascii="Times New Roman" w:hAnsi="Times New Roman" w:cs="Times New Roman"/>
            <w:sz w:val="28"/>
            <w:szCs w:val="28"/>
          </w:rPr>
          <w:t>Что нового в ПК «ГРАНД-Смета 2018»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270"/>
    <w:multiLevelType w:val="hybridMultilevel"/>
    <w:tmpl w:val="DE04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D2D"/>
    <w:multiLevelType w:val="multilevel"/>
    <w:tmpl w:val="E248663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AB"/>
    <w:rsid w:val="00085E81"/>
    <w:rsid w:val="000C5A64"/>
    <w:rsid w:val="00296796"/>
    <w:rsid w:val="00334734"/>
    <w:rsid w:val="0038259D"/>
    <w:rsid w:val="003A58F7"/>
    <w:rsid w:val="003C20AB"/>
    <w:rsid w:val="003F3496"/>
    <w:rsid w:val="004329AB"/>
    <w:rsid w:val="004D2055"/>
    <w:rsid w:val="004D7A2B"/>
    <w:rsid w:val="00620F98"/>
    <w:rsid w:val="006419F2"/>
    <w:rsid w:val="0068059D"/>
    <w:rsid w:val="008162FD"/>
    <w:rsid w:val="00924C02"/>
    <w:rsid w:val="009F3FDF"/>
    <w:rsid w:val="00A147C7"/>
    <w:rsid w:val="00AD16E5"/>
    <w:rsid w:val="00B41427"/>
    <w:rsid w:val="00BC457F"/>
    <w:rsid w:val="00BF058A"/>
    <w:rsid w:val="00C05F25"/>
    <w:rsid w:val="00C8264B"/>
    <w:rsid w:val="00C838D6"/>
    <w:rsid w:val="00CA09CA"/>
    <w:rsid w:val="00CB1685"/>
    <w:rsid w:val="00D0055B"/>
    <w:rsid w:val="00D50F95"/>
    <w:rsid w:val="00DB02A5"/>
    <w:rsid w:val="00E2785D"/>
    <w:rsid w:val="00E2790A"/>
    <w:rsid w:val="00E8016C"/>
    <w:rsid w:val="00EC4D8F"/>
    <w:rsid w:val="00ED1B3C"/>
    <w:rsid w:val="00FA61B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A"/>
  </w:style>
  <w:style w:type="paragraph" w:styleId="1">
    <w:name w:val="heading 1"/>
    <w:basedOn w:val="a"/>
    <w:next w:val="a"/>
    <w:link w:val="10"/>
    <w:uiPriority w:val="9"/>
    <w:qFormat/>
    <w:rsid w:val="004329A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D1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9F2"/>
  </w:style>
  <w:style w:type="paragraph" w:styleId="a8">
    <w:name w:val="footer"/>
    <w:basedOn w:val="a"/>
    <w:link w:val="a9"/>
    <w:uiPriority w:val="99"/>
    <w:unhideWhenUsed/>
    <w:rsid w:val="006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22FBBCB154A06A6EB2D1C5435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E8044-0A8D-440D-8DA0-21F4DAA8084C}"/>
      </w:docPartPr>
      <w:docPartBody>
        <w:p w:rsidR="00237A3F" w:rsidRDefault="002A193D" w:rsidP="002A193D">
          <w:pPr>
            <w:pStyle w:val="FC422FBBCB154A06A6EB2D1C54357C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93D"/>
    <w:rsid w:val="00237A3F"/>
    <w:rsid w:val="002A193D"/>
    <w:rsid w:val="00837CE6"/>
    <w:rsid w:val="00C5329E"/>
    <w:rsid w:val="00E5623D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422FBBCB154A06A6EB2D1C54357C4D">
    <w:name w:val="FC422FBBCB154A06A6EB2D1C54357C4D"/>
    <w:rsid w:val="002A19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8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нового в ПК «ГРАНД-Смета 2018»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нового в ПК «ГРАНД-Смета 2018»</dc:title>
  <dc:subject/>
  <dc:creator>Андрей Достовалов</dc:creator>
  <cp:keywords/>
  <dc:description/>
  <cp:lastModifiedBy>Владимир Тюков</cp:lastModifiedBy>
  <cp:revision>11</cp:revision>
  <dcterms:created xsi:type="dcterms:W3CDTF">2018-03-22T12:25:00Z</dcterms:created>
  <dcterms:modified xsi:type="dcterms:W3CDTF">2018-04-01T13:12:00Z</dcterms:modified>
</cp:coreProperties>
</file>